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49324">
      <w:pPr>
        <w:pStyle w:val="4"/>
        <w:jc w:val="center"/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实验</w:t>
      </w: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内容及</w:t>
      </w: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技术方案</w:t>
      </w:r>
    </w:p>
    <w:p w14:paraId="74EC75C3">
      <w:pPr>
        <w:pStyle w:val="6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研究目的：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评价甲方提供疫苗在非人灵长类动物中的免疫原性及免疫反应动态。</w:t>
      </w:r>
    </w:p>
    <w:p w14:paraId="0CA1048F">
      <w:pPr>
        <w:pStyle w:val="6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动物数量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只；不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开展病毒攻毒，不安排计划性处死。</w:t>
      </w:r>
    </w:p>
    <w:p w14:paraId="55F8D5DA">
      <w:pPr>
        <w:pStyle w:val="6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免疫程序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：D0首次免疫，D28第二次免疫；具体剂量、途径和注射部位由甲方填写并经乙方伦理批准。</w:t>
      </w:r>
    </w:p>
    <w:p w14:paraId="0DA3D3ED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4"/>
          <w:szCs w:val="24"/>
          <w:lang w:val="zh-CN" w:eastAsia="zh-CN" w:bidi="ar-SA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  <w:t>4、实验</w:t>
      </w: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4"/>
          <w:szCs w:val="24"/>
          <w:lang w:val="zh-CN" w:eastAsia="zh-CN" w:bidi="ar-SA"/>
          <w14:textFill>
            <w14:solidFill>
              <w14:schemeClr w14:val="tx1"/>
            </w14:solidFill>
          </w14:textFill>
          <w14:ligatures w14:val="standardContextual"/>
        </w:rPr>
        <w:t>时间</w:t>
      </w: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  <w:t>计划</w:t>
      </w: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4"/>
          <w:szCs w:val="24"/>
          <w:lang w:val="zh-CN" w:eastAsia="zh-CN" w:bidi="ar-SA"/>
          <w14:textFill>
            <w14:solidFill>
              <w14:schemeClr w14:val="tx1"/>
            </w14:solidFill>
          </w14:textFill>
          <w14:ligatures w14:val="standardContextual"/>
        </w:rPr>
        <w:t>表</w:t>
      </w:r>
    </w:p>
    <w:tbl>
      <w:tblPr>
        <w:tblStyle w:val="8"/>
        <w:tblpPr w:leftFromText="180" w:rightFromText="180" w:vertAnchor="text" w:horzAnchor="page" w:tblpX="1522" w:tblpY="147"/>
        <w:tblOverlap w:val="never"/>
        <w:tblW w:w="102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2110"/>
        <w:gridCol w:w="1413"/>
        <w:gridCol w:w="1644"/>
        <w:gridCol w:w="1455"/>
        <w:gridCol w:w="2407"/>
      </w:tblGrid>
      <w:tr w14:paraId="11D14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183" w:type="dxa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111215D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/>
                <w:bCs w:val="0"/>
                <w:i w:val="0"/>
                <w:color w:val="000000" w:themeColor="dark1"/>
                <w:sz w:val="36"/>
                <w:szCs w:val="36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ascii="宋体" w:hAnsi="宋体" w:eastAsia="宋体"/>
                <w:b/>
                <w:bCs w:val="0"/>
                <w:i w:val="0"/>
                <w:color w:val="000000" w:themeColor="dark1"/>
                <w:sz w:val="21"/>
                <w:szCs w:val="36"/>
                <w:highlight w:val="none"/>
                <w14:textFill>
                  <w14:solidFill>
                    <w14:schemeClr w14:val="dk1"/>
                  </w14:solidFill>
                </w14:textFill>
              </w:rPr>
              <w:t>时间点</w:t>
            </w:r>
          </w:p>
        </w:tc>
        <w:tc>
          <w:tcPr>
            <w:tcW w:w="2110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24B5CA5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/>
                <w:bCs w:val="0"/>
                <w:i w:val="0"/>
                <w:color w:val="000000" w:themeColor="dark1"/>
                <w:sz w:val="36"/>
                <w:szCs w:val="36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ascii="宋体" w:hAnsi="宋体" w:eastAsia="宋体"/>
                <w:b/>
                <w:bCs w:val="0"/>
                <w:i w:val="0"/>
                <w:color w:val="000000" w:themeColor="dark1"/>
                <w:sz w:val="21"/>
                <w:szCs w:val="36"/>
                <w:highlight w:val="none"/>
                <w14:textFill>
                  <w14:solidFill>
                    <w14:schemeClr w14:val="dk1"/>
                  </w14:solidFill>
                </w14:textFill>
              </w:rPr>
              <w:t>免疫/操作</w:t>
            </w:r>
          </w:p>
        </w:tc>
        <w:tc>
          <w:tcPr>
            <w:tcW w:w="1413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5986482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/>
                <w:bCs w:val="0"/>
                <w:i w:val="0"/>
                <w:color w:val="000000" w:themeColor="dark1"/>
                <w:sz w:val="36"/>
                <w:szCs w:val="36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ascii="宋体" w:hAnsi="宋体" w:eastAsia="宋体"/>
                <w:b/>
                <w:bCs w:val="0"/>
                <w:i w:val="0"/>
                <w:color w:val="000000" w:themeColor="dark1"/>
                <w:sz w:val="21"/>
                <w:szCs w:val="36"/>
                <w:highlight w:val="none"/>
                <w14:textFill>
                  <w14:solidFill>
                    <w14:schemeClr w14:val="dk1"/>
                  </w14:solidFill>
                </w14:textFill>
              </w:rPr>
              <w:t>血液</w:t>
            </w:r>
          </w:p>
        </w:tc>
        <w:tc>
          <w:tcPr>
            <w:tcW w:w="1644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56A6A7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/>
                <w:bCs w:val="0"/>
                <w:i w:val="0"/>
                <w:color w:val="000000" w:themeColor="dark1"/>
                <w:sz w:val="36"/>
                <w:szCs w:val="36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ascii="宋体" w:hAnsi="宋体" w:eastAsia="宋体"/>
                <w:b/>
                <w:bCs w:val="0"/>
                <w:i w:val="0"/>
                <w:color w:val="000000" w:themeColor="dark1"/>
                <w:sz w:val="21"/>
                <w:szCs w:val="36"/>
                <w:highlight w:val="none"/>
                <w14:textFill>
                  <w14:solidFill>
                    <w14:schemeClr w14:val="dk1"/>
                  </w14:solidFill>
                </w14:textFill>
              </w:rPr>
              <w:t>引流淋巴结</w:t>
            </w:r>
          </w:p>
        </w:tc>
        <w:tc>
          <w:tcPr>
            <w:tcW w:w="1455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60927D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/>
                <w:bCs w:val="0"/>
                <w:i w:val="0"/>
                <w:color w:val="000000" w:themeColor="dark1"/>
                <w:sz w:val="36"/>
                <w:szCs w:val="36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ascii="宋体" w:hAnsi="宋体" w:eastAsia="宋体"/>
                <w:b/>
                <w:bCs w:val="0"/>
                <w:i w:val="0"/>
                <w:color w:val="000000" w:themeColor="dark1"/>
                <w:sz w:val="21"/>
                <w:szCs w:val="36"/>
                <w:highlight w:val="none"/>
                <w14:textFill>
                  <w14:solidFill>
                    <w14:schemeClr w14:val="dk1"/>
                  </w14:solidFill>
                </w14:textFill>
              </w:rPr>
              <w:t>骨髓</w:t>
            </w:r>
          </w:p>
        </w:tc>
        <w:tc>
          <w:tcPr>
            <w:tcW w:w="2407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14B77A9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/>
                <w:bCs w:val="0"/>
                <w:i w:val="0"/>
                <w:color w:val="000000" w:themeColor="dark1"/>
                <w:sz w:val="36"/>
                <w:szCs w:val="36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ascii="宋体" w:hAnsi="宋体" w:eastAsia="宋体"/>
                <w:b/>
                <w:bCs w:val="0"/>
                <w:i w:val="0"/>
                <w:color w:val="000000" w:themeColor="dark1"/>
                <w:sz w:val="21"/>
                <w:szCs w:val="36"/>
                <w:highlight w:val="none"/>
                <w14:textFill>
                  <w14:solidFill>
                    <w14:schemeClr w14:val="dk1"/>
                  </w14:solidFill>
                </w14:textFill>
              </w:rPr>
              <w:t>主要目的</w:t>
            </w:r>
          </w:p>
        </w:tc>
      </w:tr>
      <w:tr w14:paraId="49360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18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3F39220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D−</w:t>
            </w:r>
            <w:r>
              <w:rPr>
                <w:rFonts w:hint="eastAsia" w:ascii="宋体" w:hAnsi="宋体" w:eastAsia="宋体"/>
                <w:b w:val="0"/>
                <w:i w:val="0"/>
                <w:color w:val="000000"/>
                <w:sz w:val="16"/>
                <w:lang w:val="en-US" w:eastAsia="zh-CN"/>
              </w:rPr>
              <w:t>7</w:t>
            </w: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～D−1</w:t>
            </w:r>
          </w:p>
        </w:tc>
        <w:tc>
          <w:tcPr>
            <w:tcW w:w="211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243D58D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检疫、适应性饲养、体检</w:t>
            </w:r>
          </w:p>
        </w:tc>
        <w:tc>
          <w:tcPr>
            <w:tcW w:w="1413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221FE0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164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187EF8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145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2B6385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240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7D1968E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确认入组资格</w:t>
            </w:r>
          </w:p>
        </w:tc>
      </w:tr>
      <w:tr w14:paraId="639DC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18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493CC01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D0</w:t>
            </w:r>
          </w:p>
        </w:tc>
        <w:tc>
          <w:tcPr>
            <w:tcW w:w="211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7F2F19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首次免疫（免疫前采样）</w:t>
            </w:r>
          </w:p>
        </w:tc>
        <w:tc>
          <w:tcPr>
            <w:tcW w:w="1413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37AB26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基线采血</w:t>
            </w:r>
          </w:p>
        </w:tc>
        <w:tc>
          <w:tcPr>
            <w:tcW w:w="164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0DA2D6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145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06AB979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240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0E865F5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基线免疫指标</w:t>
            </w:r>
          </w:p>
        </w:tc>
      </w:tr>
      <w:tr w14:paraId="2C739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18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05A3F54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D7 ±2 d</w:t>
            </w:r>
          </w:p>
        </w:tc>
        <w:tc>
          <w:tcPr>
            <w:tcW w:w="211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22E979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1413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4CDE5B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可选少量采血</w:t>
            </w:r>
          </w:p>
        </w:tc>
        <w:tc>
          <w:tcPr>
            <w:tcW w:w="164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34FBBC1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第1次穿刺</w:t>
            </w:r>
          </w:p>
        </w:tc>
        <w:tc>
          <w:tcPr>
            <w:tcW w:w="145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7BF46AC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</w:p>
        </w:tc>
        <w:tc>
          <w:tcPr>
            <w:tcW w:w="240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2C310E2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早期GC/浆母细胞反应</w:t>
            </w:r>
          </w:p>
        </w:tc>
      </w:tr>
      <w:tr w14:paraId="5DBD7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18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0F921CC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D14 ±2 d</w:t>
            </w:r>
          </w:p>
        </w:tc>
        <w:tc>
          <w:tcPr>
            <w:tcW w:w="211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0E5C068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1413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1E8340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第2次采血</w:t>
            </w:r>
          </w:p>
        </w:tc>
        <w:tc>
          <w:tcPr>
            <w:tcW w:w="164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54378E2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145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01CEE5C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240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6F6BF76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早期体液/细胞免疫</w:t>
            </w:r>
          </w:p>
        </w:tc>
      </w:tr>
      <w:tr w14:paraId="626EB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18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74ABB84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D28 ±2 d</w:t>
            </w:r>
          </w:p>
        </w:tc>
        <w:tc>
          <w:tcPr>
            <w:tcW w:w="211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1BC5EEA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第二次免疫（免疫前采样）</w:t>
            </w:r>
          </w:p>
        </w:tc>
        <w:tc>
          <w:tcPr>
            <w:tcW w:w="1413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0751528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第3次采血</w:t>
            </w:r>
          </w:p>
        </w:tc>
        <w:tc>
          <w:tcPr>
            <w:tcW w:w="164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4CB9EB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145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46F882A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240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5503D0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加强前水平</w:t>
            </w:r>
          </w:p>
        </w:tc>
      </w:tr>
      <w:tr w14:paraId="2BC0A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18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1099461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D35 ±2 d</w:t>
            </w:r>
          </w:p>
        </w:tc>
        <w:tc>
          <w:tcPr>
            <w:tcW w:w="211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15A912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1413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4AF158B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</w:p>
        </w:tc>
        <w:tc>
          <w:tcPr>
            <w:tcW w:w="164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008CBE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第2次穿刺</w:t>
            </w:r>
          </w:p>
        </w:tc>
        <w:tc>
          <w:tcPr>
            <w:tcW w:w="145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53BBA37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第</w:t>
            </w:r>
            <w:r>
              <w:rPr>
                <w:rFonts w:hint="eastAsia" w:ascii="宋体" w:hAnsi="宋体" w:eastAsia="宋体"/>
                <w:b w:val="0"/>
                <w:i w:val="0"/>
                <w:color w:val="000000"/>
                <w:sz w:val="16"/>
                <w:lang w:val="en-US" w:eastAsia="zh-CN"/>
              </w:rPr>
              <w:t>1</w:t>
            </w: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次穿刺</w:t>
            </w:r>
          </w:p>
        </w:tc>
        <w:tc>
          <w:tcPr>
            <w:tcW w:w="240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7767BE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加强后早期反应</w:t>
            </w:r>
          </w:p>
        </w:tc>
      </w:tr>
      <w:tr w14:paraId="0EAC2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118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54988A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D42 ±2 d</w:t>
            </w:r>
          </w:p>
        </w:tc>
        <w:tc>
          <w:tcPr>
            <w:tcW w:w="211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7F1DCF6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1413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71E8A2E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第4次采血</w:t>
            </w:r>
          </w:p>
        </w:tc>
        <w:tc>
          <w:tcPr>
            <w:tcW w:w="164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64721E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145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6A03B2C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240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007BF3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加强后峰值附近</w:t>
            </w:r>
          </w:p>
        </w:tc>
      </w:tr>
      <w:tr w14:paraId="1498F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118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1FDA214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D56 ±3 d</w:t>
            </w:r>
          </w:p>
        </w:tc>
        <w:tc>
          <w:tcPr>
            <w:tcW w:w="211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6CCEC1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1413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04C4C9C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第5次采血</w:t>
            </w:r>
          </w:p>
        </w:tc>
        <w:tc>
          <w:tcPr>
            <w:tcW w:w="164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29EBF0B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145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3B903B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240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033E33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免疫持续性</w:t>
            </w:r>
          </w:p>
        </w:tc>
      </w:tr>
      <w:tr w14:paraId="79D4E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118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4841D2B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D70 ±3 d</w:t>
            </w:r>
          </w:p>
        </w:tc>
        <w:tc>
          <w:tcPr>
            <w:tcW w:w="211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208E906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1413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12567B1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第6次采血</w:t>
            </w:r>
          </w:p>
        </w:tc>
        <w:tc>
          <w:tcPr>
            <w:tcW w:w="164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5045B6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145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0281E6F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240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410DEDE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免疫持续性</w:t>
            </w:r>
          </w:p>
        </w:tc>
      </w:tr>
      <w:tr w14:paraId="709A8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8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589E072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D84 ±5 d</w:t>
            </w:r>
          </w:p>
        </w:tc>
        <w:tc>
          <w:tcPr>
            <w:tcW w:w="211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22E2952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—</w:t>
            </w:r>
          </w:p>
        </w:tc>
        <w:tc>
          <w:tcPr>
            <w:tcW w:w="1413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5A3F8C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第7次采血</w:t>
            </w:r>
          </w:p>
        </w:tc>
        <w:tc>
          <w:tcPr>
            <w:tcW w:w="164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19B3C8E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第3次穿刺</w:t>
            </w:r>
          </w:p>
        </w:tc>
        <w:tc>
          <w:tcPr>
            <w:tcW w:w="145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6AC3D78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第</w:t>
            </w:r>
            <w:r>
              <w:rPr>
                <w:rFonts w:hint="eastAsia" w:ascii="宋体" w:hAnsi="宋体" w:eastAsia="宋体"/>
                <w:b w:val="0"/>
                <w:i w:val="0"/>
                <w:color w:val="000000"/>
                <w:sz w:val="16"/>
                <w:lang w:val="en-US" w:eastAsia="zh-CN"/>
              </w:rPr>
              <w:t>2</w:t>
            </w: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次穿刺</w:t>
            </w:r>
          </w:p>
        </w:tc>
        <w:tc>
          <w:tcPr>
            <w:tcW w:w="240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2A24795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76" w:lineRule="auto"/>
              <w:jc w:val="center"/>
              <w:textAlignment w:val="auto"/>
              <w:rPr>
                <w:b w:val="0"/>
                <w:i w:val="0"/>
                <w:color w:val="000000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16"/>
              </w:rPr>
              <w:t>二免后约8周记忆/骨髓反应</w:t>
            </w:r>
          </w:p>
        </w:tc>
      </w:tr>
    </w:tbl>
    <w:p w14:paraId="7C0A8765">
      <w:pPr>
        <w:pStyle w:val="5"/>
        <w:spacing w:line="240" w:lineRule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操作与观察要求</w:t>
      </w:r>
    </w:p>
    <w:p w14:paraId="1E5850D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每次操作前进行一般状况评估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由兽医决定麻醉/镇静、镇痛、穿刺部位轮换、止血与术后监护方案。骨髓穿刺由具备经验的人员实施，记录部位、采样量、麻醉镇痛、止血及恢复情况；同一部位是否重复穿刺由兽医评估。引流淋巴结应根据免疫部位确定，优先采用超声定位/引导的细针穿刺；记录侧别、部位、针次、细胞产量及并发症。</w:t>
      </w:r>
    </w:p>
    <w:p w14:paraId="0D26CF4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采血量、采样管类型、抗凝剂、PBMC分离时限、血清/血浆分装规格及冻存条件由双方在实验启动前填写样本处理SOP。</w:t>
      </w:r>
    </w:p>
    <w:p w14:paraId="1BCE8F96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</w:rPr>
        <w:t>临床观察至少包括精神状态、食欲、活动、注射部位反应、体温（如方案要求）、体重及其他异常；发生严重不良反应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时要及时报告并记录。 </w:t>
      </w:r>
    </w:p>
    <w:p w14:paraId="328644D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lang w:eastAsia="zh-CN"/>
        </w:rPr>
        <w:sectPr>
          <w:pgSz w:w="12240" w:h="15840"/>
          <w:pgMar w:top="1440" w:right="1440" w:bottom="1440" w:left="1440" w:header="708" w:footer="708" w:gutter="0"/>
          <w:cols w:space="708" w:num="1"/>
          <w:docGrid w:linePitch="360" w:charSpace="0"/>
        </w:sectPr>
      </w:pPr>
      <w:r>
        <w:rPr>
          <w:rFonts w:hint="eastAsia" w:ascii="宋体" w:hAnsi="宋体" w:eastAsia="宋体" w:cs="宋体"/>
          <w:b w:val="0"/>
          <w:bCs w:val="0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</w:rPr>
        <w:t>所有样本采用“项目编号—动物编号—时间点—样本类型—分装号”唯一编码，避免直接使用可识别人员信息</w:t>
      </w:r>
      <w:r>
        <w:rPr>
          <w:rFonts w:hint="eastAsia" w:ascii="宋体" w:hAnsi="宋体" w:eastAsia="宋体" w:cs="宋体"/>
          <w:b w:val="0"/>
          <w:bCs w:val="0"/>
          <w:lang w:eastAsia="zh-CN"/>
        </w:rPr>
        <w:t>。</w:t>
      </w:r>
      <w:bookmarkStart w:id="0" w:name="_GoBack"/>
      <w:bookmarkEnd w:id="0"/>
    </w:p>
    <w:p w14:paraId="20C7CF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AA235E"/>
    <w:multiLevelType w:val="singleLevel"/>
    <w:tmpl w:val="FFAA235E"/>
    <w:lvl w:ilvl="0" w:tentative="0">
      <w:start w:val="1"/>
      <w:numFmt w:val="bullet"/>
      <w:pStyle w:val="6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5EF74B"/>
    <w:rsid w:val="19F93EF6"/>
    <w:rsid w:val="5F890101"/>
    <w:rsid w:val="775EF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zh-CN" w:eastAsia="zh-CN" w:bidi="ar-SA"/>
      <w14:ligatures w14:val="standardContextual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paragraph" w:styleId="5">
    <w:name w:val="heading 2"/>
    <w:basedOn w:val="1"/>
    <w:next w:val="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360" w:lineRule="auto"/>
      <w:ind w:left="0" w:leftChars="0"/>
      <w:jc w:val="both"/>
    </w:pPr>
    <w:rPr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6">
    <w:name w:val="List Bullet"/>
    <w:basedOn w:val="1"/>
    <w:qFormat/>
    <w:uiPriority w:val="0"/>
    <w:pPr>
      <w:numPr>
        <w:ilvl w:val="0"/>
        <w:numId w:val="1"/>
      </w:numPr>
    </w:pPr>
  </w:style>
  <w:style w:type="table" w:styleId="8">
    <w:name w:val="Table Grid"/>
    <w:basedOn w:val="7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711</Words>
  <Characters>741</Characters>
  <Lines>0</Lines>
  <Paragraphs>0</Paragraphs>
  <TotalTime>0</TotalTime>
  <ScaleCrop>false</ScaleCrop>
  <LinksUpToDate>false</LinksUpToDate>
  <CharactersWithSpaces>758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2026-09-03T11:57:00Z</dcterms:created>
  <dc:creator>石宇航</dc:creator>
  <cp:lastModifiedBy>DARK MATTER</cp:lastModifiedBy>
  <dcterms:modified xsi:type="dcterms:W3CDTF">2026-09-08T06:49:48Z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AA6824A446FC403C96EC10015E41B9EC_13</vt:lpwstr>
  </property>
  <property fmtid="{D5CDD505-2E9C-101B-9397-08002B2CF9AE}" pid="4" name="KSOTemplateDocerSaveRecord">
    <vt:lpwstr>eyJoZGlkIjoiZjIxYzI5M2ZlY2M0ZDhlYjA0OThjN2Y0ZjUwNTYzZTUiLCJ1c2VySWQiOiIxMzk2ODU0Njk4In0=</vt:lpwstr>
  </property>
</Properties>
</file>